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R4-2216558</w:t>
      </w:r>
      <w:bookmarkStart w:id="9" w:name="_GoBack"/>
      <w:bookmarkEnd w:id="9"/>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6</w:t>
      </w:r>
      <w:r>
        <w:rPr>
          <w:rFonts w:ascii="Arial" w:hAnsi="Arial" w:eastAsia="Batang"/>
          <w:b/>
          <w:lang w:eastAsia="zh-CN"/>
        </w:rPr>
        <w:t>.</w:t>
      </w:r>
      <w:r>
        <w:rPr>
          <w:rFonts w:hint="eastAsia" w:ascii="Arial" w:hAnsi="Arial" w:eastAsia="Batang"/>
          <w:b/>
          <w:lang w:val="en-US" w:eastAsia="zh-CN"/>
        </w:rPr>
        <w:t>22</w:t>
      </w:r>
      <w:r>
        <w:rPr>
          <w:rFonts w:ascii="Arial" w:hAnsi="Arial" w:eastAsia="Batang"/>
          <w:b/>
          <w:lang w:eastAsia="zh-CN"/>
        </w:rPr>
        <w:t>.</w:t>
      </w:r>
      <w:r>
        <w:rPr>
          <w:rFonts w:hint="eastAsia" w:ascii="Arial" w:hAnsi="Arial" w:eastAsia="Batang"/>
          <w:b/>
          <w:lang w:val="en-US" w:eastAsia="zh-CN"/>
        </w:rPr>
        <w:t>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SAN RF requirements for NTN in Ka-band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eastAsia="宋体"/>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initial views on the SAN RF requirements for NTN in Ka-band.</w:t>
      </w:r>
    </w:p>
    <w:p>
      <w:pPr>
        <w:spacing w:after="0"/>
        <w:rPr>
          <w:bCs/>
        </w:rPr>
      </w:pPr>
      <w:r>
        <w:rPr>
          <w:bCs/>
        </w:rPr>
        <w:t>The following covers the objectives for NR-NTN deployment in above 10 GHz bands. This work is expected to start after June 2022.</w:t>
      </w: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4"/>
      <w:bookmarkStart w:id="4" w:name="OLE_LINK10"/>
      <w:bookmarkStart w:id="5" w:name="OLE_LINK13"/>
      <w:bookmarkStart w:id="6"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NTN SAN type and SAN class</w:t>
      </w:r>
    </w:p>
    <w:p>
      <w:pPr>
        <w:jc w:val="center"/>
        <w:rPr>
          <w:rFonts w:hint="eastAsia" w:ascii="Times New Roman" w:hAnsi="Times New Roman" w:eastAsia="宋体" w:cs="Times New Roman"/>
          <w:b/>
          <w:bCs/>
          <w:color w:val="auto"/>
          <w:sz w:val="20"/>
          <w:szCs w:val="22"/>
          <w:lang w:val="en-US" w:eastAsia="zh-CN"/>
        </w:rPr>
      </w:pP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eastAsia" w:cs="Times New Roman"/>
          <w:b w:val="0"/>
          <w:bCs w:val="0"/>
          <w:sz w:val="21"/>
          <w:szCs w:val="22"/>
          <w:highlight w:val="none"/>
          <w:lang w:val="en-US" w:eastAsia="zh-CN"/>
        </w:rPr>
      </w:pPr>
      <w:r>
        <w:rPr>
          <w:rFonts w:hint="eastAsia" w:cs="Times New Roman"/>
          <w:b w:val="0"/>
          <w:bCs w:val="0"/>
          <w:sz w:val="21"/>
          <w:szCs w:val="22"/>
          <w:highlight w:val="none"/>
          <w:lang w:val="en-US" w:eastAsia="zh-CN"/>
        </w:rPr>
        <w:t>First of all, since Ka-band DL is close to low boundary 24.25GHz of FR2 definition and Ka-band UL is largely overlapping with TN band n257. Based on the experience for FR2 BS in the past, only BS type 2-O need to be defined otherwise insertion loss of connector between transceiver and antenna array would be quite high which will result in the reduced coverage. Based on the above considerations, we propose to define SAN type 2-O for NTN Ka-band unless other technical reasons from satellite vendors.</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eastAsia" w:cs="Times New Roman"/>
          <w:b w:val="0"/>
          <w:bCs w:val="0"/>
          <w:sz w:val="21"/>
          <w:szCs w:val="22"/>
          <w:highlight w:val="none"/>
          <w:lang w:val="en-US" w:eastAsia="zh-CN"/>
        </w:rPr>
      </w:pPr>
      <w:r>
        <w:rPr>
          <w:rFonts w:hint="eastAsia" w:cs="Times New Roman"/>
          <w:b/>
          <w:bCs/>
          <w:sz w:val="21"/>
          <w:szCs w:val="22"/>
          <w:highlight w:val="none"/>
          <w:lang w:val="en-US" w:eastAsia="zh-CN"/>
        </w:rPr>
        <w:t>Proposal 1:</w:t>
      </w:r>
      <w:r>
        <w:rPr>
          <w:rFonts w:hint="eastAsia" w:cs="Times New Roman"/>
          <w:b w:val="0"/>
          <w:bCs w:val="0"/>
          <w:sz w:val="21"/>
          <w:szCs w:val="22"/>
          <w:highlight w:val="none"/>
          <w:lang w:val="en-US" w:eastAsia="zh-CN"/>
        </w:rPr>
        <w:t xml:space="preserve"> to define SAN type 2-O for NTN Ka-band.</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eastAsia" w:cs="Times New Roman"/>
          <w:b w:val="0"/>
          <w:bCs w:val="0"/>
          <w:sz w:val="21"/>
          <w:szCs w:val="22"/>
          <w:highlight w:val="none"/>
          <w:lang w:val="en-US" w:eastAsia="zh-CN"/>
        </w:rPr>
      </w:pPr>
      <w:r>
        <w:rPr>
          <w:rFonts w:hint="eastAsia" w:cs="Times New Roman"/>
          <w:b w:val="0"/>
          <w:bCs w:val="0"/>
          <w:sz w:val="21"/>
          <w:szCs w:val="22"/>
          <w:highlight w:val="none"/>
          <w:lang w:val="en-US" w:eastAsia="zh-CN"/>
        </w:rPr>
        <w:t>In addition, regarding the SAN class for NTN Ka band, as indicated in the TR 38.821 section 6.1 as following, GEO, LEO-1200 km and LEO 600km should be allowed and FFS for MEO in NTN Ka-band.</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r>
        <w:rPr>
          <w:rFonts w:hint="eastAsia" w:cs="Times New Roman"/>
          <w:b/>
          <w:bCs/>
          <w:sz w:val="21"/>
          <w:szCs w:val="22"/>
          <w:highlight w:val="none"/>
          <w:lang w:val="en-US" w:eastAsia="zh-CN"/>
        </w:rPr>
        <w:t>Proposal 2:</w:t>
      </w:r>
      <w:r>
        <w:rPr>
          <w:rFonts w:hint="eastAsia" w:cs="Times New Roman"/>
          <w:b w:val="0"/>
          <w:bCs w:val="0"/>
          <w:sz w:val="21"/>
          <w:szCs w:val="22"/>
          <w:highlight w:val="none"/>
          <w:lang w:val="en-US" w:eastAsia="zh-CN"/>
        </w:rPr>
        <w:t xml:space="preserve"> to define GEO and LEO SAN class (including LEO-600km and LEO-1200km) for NTN Ka-band and FFS for MEO SAN class.</w:t>
      </w:r>
    </w:p>
    <w:p>
      <w:pPr>
        <w:pStyle w:val="45"/>
        <w:rPr>
          <w:rFonts w:hint="default" w:eastAsia="宋体"/>
          <w:lang w:val="en-US" w:eastAsia="zh-CN"/>
        </w:rPr>
      </w:pPr>
      <w:r>
        <w:t xml:space="preserve">Table </w:t>
      </w:r>
      <w:r>
        <w:rPr>
          <w:rFonts w:hint="eastAsia"/>
          <w:lang w:val="en-US" w:eastAsia="zh-CN"/>
        </w:rPr>
        <w:t>2</w:t>
      </w:r>
      <w:r>
        <w:t xml:space="preserve">.1-1: Set-1 satellite parameters for system level </w:t>
      </w:r>
      <w:r>
        <w:rPr>
          <w:rFonts w:hint="eastAsia"/>
          <w:lang w:val="en-US" w:eastAsia="zh-CN"/>
        </w:rPr>
        <w:t>simulation</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1"/>
        <w:gridCol w:w="1133"/>
        <w:gridCol w:w="2014"/>
        <w:gridCol w:w="2074"/>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6"/>
            </w:pPr>
            <w:r>
              <w:t>Satellite orbit</w:t>
            </w:r>
          </w:p>
        </w:tc>
        <w:tc>
          <w:tcPr>
            <w:tcW w:w="1723" w:type="dxa"/>
            <w:noWrap w:val="0"/>
            <w:vAlign w:val="center"/>
          </w:tcPr>
          <w:p>
            <w:pPr>
              <w:pStyle w:val="36"/>
            </w:pPr>
            <w:r>
              <w:t>GEO</w:t>
            </w:r>
          </w:p>
        </w:tc>
        <w:tc>
          <w:tcPr>
            <w:tcW w:w="1774" w:type="dxa"/>
            <w:noWrap w:val="0"/>
            <w:vAlign w:val="center"/>
          </w:tcPr>
          <w:p>
            <w:pPr>
              <w:pStyle w:val="36"/>
            </w:pPr>
            <w:r>
              <w:t>LEO-1200</w:t>
            </w:r>
          </w:p>
        </w:tc>
        <w:tc>
          <w:tcPr>
            <w:tcW w:w="1746" w:type="dxa"/>
            <w:noWrap w:val="0"/>
            <w:vAlign w:val="center"/>
          </w:tcPr>
          <w:p>
            <w:pPr>
              <w:pStyle w:val="36"/>
            </w:pPr>
            <w: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6"/>
            </w:pPr>
            <w:r>
              <w:t>Satellite altitude</w:t>
            </w:r>
          </w:p>
        </w:tc>
        <w:tc>
          <w:tcPr>
            <w:tcW w:w="1723" w:type="dxa"/>
            <w:noWrap w:val="0"/>
            <w:vAlign w:val="center"/>
          </w:tcPr>
          <w:p>
            <w:pPr>
              <w:pStyle w:val="36"/>
            </w:pPr>
            <w:r>
              <w:t>35786 km</w:t>
            </w:r>
          </w:p>
        </w:tc>
        <w:tc>
          <w:tcPr>
            <w:tcW w:w="1774" w:type="dxa"/>
            <w:noWrap w:val="0"/>
            <w:vAlign w:val="center"/>
          </w:tcPr>
          <w:p>
            <w:pPr>
              <w:pStyle w:val="36"/>
            </w:pPr>
            <w:r>
              <w:t>1200 km</w:t>
            </w:r>
          </w:p>
        </w:tc>
        <w:tc>
          <w:tcPr>
            <w:tcW w:w="1746" w:type="dxa"/>
            <w:noWrap w:val="0"/>
            <w:vAlign w:val="center"/>
          </w:tcPr>
          <w:p>
            <w:pPr>
              <w:pStyle w:val="36"/>
            </w:pPr>
            <w: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6"/>
            </w:pPr>
            <w:r>
              <w:t>Satellite antenna pattern</w:t>
            </w:r>
          </w:p>
        </w:tc>
        <w:tc>
          <w:tcPr>
            <w:tcW w:w="1723" w:type="dxa"/>
            <w:noWrap w:val="0"/>
            <w:vAlign w:val="center"/>
          </w:tcPr>
          <w:p>
            <w:pPr>
              <w:pStyle w:val="36"/>
            </w:pPr>
            <w:r>
              <w:t>Section 6.4.1 in [2]</w:t>
            </w:r>
          </w:p>
        </w:tc>
        <w:tc>
          <w:tcPr>
            <w:tcW w:w="1774" w:type="dxa"/>
            <w:noWrap w:val="0"/>
            <w:vAlign w:val="center"/>
          </w:tcPr>
          <w:p>
            <w:pPr>
              <w:pStyle w:val="36"/>
            </w:pPr>
            <w:r>
              <w:t>Section 6.4.1 in [2]</w:t>
            </w:r>
          </w:p>
        </w:tc>
        <w:tc>
          <w:tcPr>
            <w:tcW w:w="1746" w:type="dxa"/>
            <w:noWrap w:val="0"/>
            <w:vAlign w:val="center"/>
          </w:tcPr>
          <w:p>
            <w:pPr>
              <w:pStyle w:val="36"/>
            </w:pPr>
            <w:r>
              <w:t>Section 6.4.1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36"/>
            </w:pPr>
            <w: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Equivalent satellite antenna aperture (Note 1)</w:t>
            </w:r>
          </w:p>
        </w:tc>
        <w:tc>
          <w:tcPr>
            <w:tcW w:w="969" w:type="dxa"/>
            <w:vMerge w:val="restart"/>
            <w:noWrap w:val="0"/>
            <w:vAlign w:val="center"/>
          </w:tcPr>
          <w:p>
            <w:pPr>
              <w:pStyle w:val="36"/>
            </w:pPr>
            <w:r>
              <w:t>Ka-band</w:t>
            </w:r>
          </w:p>
          <w:p>
            <w:pPr>
              <w:pStyle w:val="36"/>
            </w:pPr>
            <w:r>
              <w:t>(i.e. 20 GHz for DL)</w:t>
            </w:r>
          </w:p>
        </w:tc>
        <w:tc>
          <w:tcPr>
            <w:tcW w:w="1723" w:type="dxa"/>
            <w:noWrap w:val="0"/>
            <w:vAlign w:val="center"/>
          </w:tcPr>
          <w:p>
            <w:pPr>
              <w:pStyle w:val="36"/>
            </w:pPr>
            <w:r>
              <w:t>5 m</w:t>
            </w:r>
          </w:p>
        </w:tc>
        <w:tc>
          <w:tcPr>
            <w:tcW w:w="1774" w:type="dxa"/>
            <w:noWrap w:val="0"/>
            <w:vAlign w:val="center"/>
          </w:tcPr>
          <w:p>
            <w:pPr>
              <w:pStyle w:val="36"/>
            </w:pPr>
            <w:r>
              <w:t>0.5 m</w:t>
            </w:r>
          </w:p>
        </w:tc>
        <w:tc>
          <w:tcPr>
            <w:tcW w:w="1746" w:type="dxa"/>
            <w:noWrap w:val="0"/>
            <w:vAlign w:val="center"/>
          </w:tcPr>
          <w:p>
            <w:pPr>
              <w:pStyle w:val="36"/>
            </w:pPr>
            <w:r>
              <w:t>0.5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EIRP density</w:t>
            </w:r>
          </w:p>
        </w:tc>
        <w:tc>
          <w:tcPr>
            <w:tcW w:w="969" w:type="dxa"/>
            <w:vMerge w:val="continue"/>
            <w:noWrap w:val="0"/>
            <w:vAlign w:val="center"/>
          </w:tcPr>
          <w:p>
            <w:pPr>
              <w:pStyle w:val="36"/>
            </w:pPr>
          </w:p>
        </w:tc>
        <w:tc>
          <w:tcPr>
            <w:tcW w:w="1723" w:type="dxa"/>
            <w:noWrap w:val="0"/>
            <w:vAlign w:val="center"/>
          </w:tcPr>
          <w:p>
            <w:pPr>
              <w:pStyle w:val="36"/>
            </w:pPr>
            <w:r>
              <w:t>40 dBW/MHz</w:t>
            </w:r>
          </w:p>
        </w:tc>
        <w:tc>
          <w:tcPr>
            <w:tcW w:w="1774" w:type="dxa"/>
            <w:noWrap w:val="0"/>
            <w:vAlign w:val="center"/>
          </w:tcPr>
          <w:p>
            <w:pPr>
              <w:pStyle w:val="36"/>
            </w:pPr>
            <w:r>
              <w:t>10 dBW/MHz</w:t>
            </w:r>
          </w:p>
        </w:tc>
        <w:tc>
          <w:tcPr>
            <w:tcW w:w="1746" w:type="dxa"/>
            <w:noWrap w:val="0"/>
            <w:vAlign w:val="center"/>
          </w:tcPr>
          <w:p>
            <w:pPr>
              <w:pStyle w:val="36"/>
            </w:pPr>
            <w:r>
              <w:t>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Tx max Gain</w:t>
            </w:r>
          </w:p>
        </w:tc>
        <w:tc>
          <w:tcPr>
            <w:tcW w:w="969" w:type="dxa"/>
            <w:vMerge w:val="continue"/>
            <w:noWrap w:val="0"/>
            <w:vAlign w:val="center"/>
          </w:tcPr>
          <w:p>
            <w:pPr>
              <w:pStyle w:val="36"/>
            </w:pPr>
          </w:p>
        </w:tc>
        <w:tc>
          <w:tcPr>
            <w:tcW w:w="1723" w:type="dxa"/>
            <w:noWrap w:val="0"/>
            <w:vAlign w:val="center"/>
          </w:tcPr>
          <w:p>
            <w:pPr>
              <w:pStyle w:val="36"/>
            </w:pPr>
            <w:r>
              <w:t>58.5 dBi</w:t>
            </w:r>
          </w:p>
        </w:tc>
        <w:tc>
          <w:tcPr>
            <w:tcW w:w="1774" w:type="dxa"/>
            <w:noWrap w:val="0"/>
            <w:vAlign w:val="center"/>
          </w:tcPr>
          <w:p>
            <w:pPr>
              <w:pStyle w:val="36"/>
            </w:pPr>
            <w:r>
              <w:t>38.5 dBi</w:t>
            </w:r>
          </w:p>
        </w:tc>
        <w:tc>
          <w:tcPr>
            <w:tcW w:w="1746" w:type="dxa"/>
            <w:noWrap w:val="0"/>
            <w:vAlign w:val="center"/>
          </w:tcPr>
          <w:p>
            <w:pPr>
              <w:pStyle w:val="36"/>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3dB beamwidth</w:t>
            </w:r>
          </w:p>
        </w:tc>
        <w:tc>
          <w:tcPr>
            <w:tcW w:w="969" w:type="dxa"/>
            <w:vMerge w:val="continue"/>
            <w:noWrap w:val="0"/>
            <w:vAlign w:val="center"/>
          </w:tcPr>
          <w:p>
            <w:pPr>
              <w:pStyle w:val="36"/>
            </w:pPr>
          </w:p>
        </w:tc>
        <w:tc>
          <w:tcPr>
            <w:tcW w:w="1723" w:type="dxa"/>
            <w:noWrap w:val="0"/>
            <w:vAlign w:val="center"/>
          </w:tcPr>
          <w:p>
            <w:pPr>
              <w:pStyle w:val="36"/>
            </w:pPr>
            <w:r>
              <w:t>0.1765 deg</w:t>
            </w:r>
          </w:p>
        </w:tc>
        <w:tc>
          <w:tcPr>
            <w:tcW w:w="1774" w:type="dxa"/>
            <w:noWrap w:val="0"/>
            <w:vAlign w:val="center"/>
          </w:tcPr>
          <w:p>
            <w:pPr>
              <w:pStyle w:val="36"/>
            </w:pPr>
            <w:r>
              <w:t>1.7647 deg</w:t>
            </w:r>
          </w:p>
        </w:tc>
        <w:tc>
          <w:tcPr>
            <w:tcW w:w="1746" w:type="dxa"/>
            <w:noWrap w:val="0"/>
            <w:vAlign w:val="center"/>
          </w:tcPr>
          <w:p>
            <w:pPr>
              <w:pStyle w:val="36"/>
            </w:pPr>
            <w:r>
              <w:t>1.7647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beam diameter (Note 2)</w:t>
            </w:r>
          </w:p>
        </w:tc>
        <w:tc>
          <w:tcPr>
            <w:tcW w:w="969" w:type="dxa"/>
            <w:vMerge w:val="continue"/>
            <w:noWrap w:val="0"/>
            <w:vAlign w:val="center"/>
          </w:tcPr>
          <w:p>
            <w:pPr>
              <w:pStyle w:val="36"/>
            </w:pPr>
          </w:p>
        </w:tc>
        <w:tc>
          <w:tcPr>
            <w:tcW w:w="1723" w:type="dxa"/>
            <w:noWrap w:val="0"/>
            <w:vAlign w:val="center"/>
          </w:tcPr>
          <w:p>
            <w:pPr>
              <w:pStyle w:val="36"/>
            </w:pPr>
            <w:r>
              <w:t>110 km</w:t>
            </w:r>
          </w:p>
        </w:tc>
        <w:tc>
          <w:tcPr>
            <w:tcW w:w="1774" w:type="dxa"/>
            <w:noWrap w:val="0"/>
            <w:vAlign w:val="center"/>
          </w:tcPr>
          <w:p>
            <w:pPr>
              <w:pStyle w:val="36"/>
            </w:pPr>
            <w:r>
              <w:t>40 km</w:t>
            </w:r>
          </w:p>
        </w:tc>
        <w:tc>
          <w:tcPr>
            <w:tcW w:w="1746" w:type="dxa"/>
            <w:noWrap w:val="0"/>
            <w:vAlign w:val="center"/>
          </w:tcPr>
          <w:p>
            <w:pPr>
              <w:pStyle w:val="36"/>
            </w:pPr>
            <w:r>
              <w:t>20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36"/>
            </w:pPr>
            <w:r>
              <w:t>Payload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Equivalent satellite antenna aperture (Note1)</w:t>
            </w:r>
          </w:p>
        </w:tc>
        <w:tc>
          <w:tcPr>
            <w:tcW w:w="969" w:type="dxa"/>
            <w:vMerge w:val="restart"/>
            <w:noWrap w:val="0"/>
            <w:vAlign w:val="center"/>
          </w:tcPr>
          <w:p>
            <w:pPr>
              <w:pStyle w:val="36"/>
            </w:pPr>
            <w:r>
              <w:t>Ka-band (i.e. 30 GHz for UL)</w:t>
            </w:r>
          </w:p>
        </w:tc>
        <w:tc>
          <w:tcPr>
            <w:tcW w:w="1723" w:type="dxa"/>
            <w:noWrap w:val="0"/>
            <w:vAlign w:val="center"/>
          </w:tcPr>
          <w:p>
            <w:pPr>
              <w:pStyle w:val="36"/>
            </w:pPr>
            <w:r>
              <w:t>3.33 m</w:t>
            </w:r>
          </w:p>
        </w:tc>
        <w:tc>
          <w:tcPr>
            <w:tcW w:w="1774" w:type="dxa"/>
            <w:noWrap w:val="0"/>
            <w:vAlign w:val="center"/>
          </w:tcPr>
          <w:p>
            <w:pPr>
              <w:pStyle w:val="36"/>
            </w:pPr>
            <w:r>
              <w:t>0.33 m</w:t>
            </w:r>
          </w:p>
        </w:tc>
        <w:tc>
          <w:tcPr>
            <w:tcW w:w="1746" w:type="dxa"/>
            <w:noWrap w:val="0"/>
            <w:vAlign w:val="center"/>
          </w:tcPr>
          <w:p>
            <w:pPr>
              <w:pStyle w:val="36"/>
            </w:pPr>
            <w:r>
              <w:t>0.33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G/T</w:t>
            </w:r>
          </w:p>
        </w:tc>
        <w:tc>
          <w:tcPr>
            <w:tcW w:w="969" w:type="dxa"/>
            <w:vMerge w:val="continue"/>
            <w:noWrap w:val="0"/>
            <w:vAlign w:val="center"/>
          </w:tcPr>
          <w:p>
            <w:pPr>
              <w:pStyle w:val="36"/>
            </w:pPr>
          </w:p>
        </w:tc>
        <w:tc>
          <w:tcPr>
            <w:tcW w:w="1723" w:type="dxa"/>
            <w:noWrap w:val="0"/>
            <w:vAlign w:val="center"/>
          </w:tcPr>
          <w:p>
            <w:pPr>
              <w:pStyle w:val="36"/>
            </w:pPr>
            <w:r>
              <w:t>28 dB K</w:t>
            </w:r>
            <w:r>
              <w:rPr>
                <w:vertAlign w:val="superscript"/>
              </w:rPr>
              <w:t>-1</w:t>
            </w:r>
          </w:p>
        </w:tc>
        <w:tc>
          <w:tcPr>
            <w:tcW w:w="1774" w:type="dxa"/>
            <w:noWrap w:val="0"/>
            <w:vAlign w:val="center"/>
          </w:tcPr>
          <w:p>
            <w:pPr>
              <w:pStyle w:val="36"/>
            </w:pPr>
            <w:r>
              <w:t>13 dB K</w:t>
            </w:r>
            <w:r>
              <w:rPr>
                <w:vertAlign w:val="superscript"/>
              </w:rPr>
              <w:t>-1</w:t>
            </w:r>
          </w:p>
        </w:tc>
        <w:tc>
          <w:tcPr>
            <w:tcW w:w="1746" w:type="dxa"/>
            <w:noWrap w:val="0"/>
            <w:vAlign w:val="center"/>
          </w:tcPr>
          <w:p>
            <w:pPr>
              <w:pStyle w:val="36"/>
            </w:pPr>
            <w:r>
              <w:t>13 dB K</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RX max Gain</w:t>
            </w:r>
          </w:p>
        </w:tc>
        <w:tc>
          <w:tcPr>
            <w:tcW w:w="969" w:type="dxa"/>
            <w:vMerge w:val="continue"/>
            <w:noWrap w:val="0"/>
            <w:vAlign w:val="center"/>
          </w:tcPr>
          <w:p>
            <w:pPr>
              <w:pStyle w:val="36"/>
            </w:pPr>
          </w:p>
        </w:tc>
        <w:tc>
          <w:tcPr>
            <w:tcW w:w="1723" w:type="dxa"/>
            <w:noWrap w:val="0"/>
            <w:vAlign w:val="center"/>
          </w:tcPr>
          <w:p>
            <w:pPr>
              <w:pStyle w:val="36"/>
            </w:pPr>
            <w:r>
              <w:t>58.5 dBi</w:t>
            </w:r>
          </w:p>
        </w:tc>
        <w:tc>
          <w:tcPr>
            <w:tcW w:w="1774" w:type="dxa"/>
            <w:noWrap w:val="0"/>
            <w:vAlign w:val="center"/>
          </w:tcPr>
          <w:p>
            <w:pPr>
              <w:pStyle w:val="36"/>
            </w:pPr>
            <w:r>
              <w:t>38.5 dBi</w:t>
            </w:r>
          </w:p>
        </w:tc>
        <w:tc>
          <w:tcPr>
            <w:tcW w:w="1746" w:type="dxa"/>
            <w:noWrap w:val="0"/>
            <w:vAlign w:val="center"/>
          </w:tcPr>
          <w:p>
            <w:pPr>
              <w:pStyle w:val="36"/>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48"/>
            </w:pPr>
            <w:r>
              <w:t>NOTE 1: This value is equivalent to the antenna diameter in Sec. 6.4.1 of [2].</w:t>
            </w:r>
          </w:p>
          <w:p>
            <w:pPr>
              <w:pStyle w:val="48"/>
            </w:pPr>
            <w:r>
              <w:t xml:space="preserve">NOTE 2: This beam size refers to the Nadir pointing of the satellite </w:t>
            </w:r>
          </w:p>
          <w:p>
            <w:pPr>
              <w:pStyle w:val="48"/>
            </w:pPr>
            <w:r>
              <w:t>NOTE 3: All these satellite parameters are applied per beam.</w:t>
            </w:r>
          </w:p>
          <w:p>
            <w:pPr>
              <w:pStyle w:val="48"/>
            </w:pPr>
            <w:r>
              <w:t>NOTE 4: The EIRP density values are considered identical for all frequency re-use factor options.</w:t>
            </w:r>
          </w:p>
          <w:p>
            <w:pPr>
              <w:pStyle w:val="48"/>
            </w:pPr>
            <w:r>
              <w:t>NOTE 5: The EIRP density values are provided assuming the satellite HPA is operated with a back-off of [5] dB.</w:t>
            </w:r>
          </w:p>
        </w:tc>
      </w:tr>
    </w:tbl>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p>
    <w:p>
      <w:pPr>
        <w:jc w:val="center"/>
        <w:rPr>
          <w:rFonts w:hint="eastAsia" w:ascii="Times New Roman" w:hAnsi="Times New Roman" w:eastAsia="宋体" w:cs="Times New Roman"/>
          <w:b/>
          <w:bCs/>
          <w:color w:val="auto"/>
          <w:sz w:val="20"/>
          <w:szCs w:val="22"/>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NTN SAN RF requirements</w:t>
      </w:r>
    </w:p>
    <w:p>
      <w:pPr>
        <w:jc w:val="center"/>
        <w:rPr>
          <w:rFonts w:hint="eastAsia" w:ascii="Times New Roman" w:hAnsi="Times New Roman" w:eastAsia="宋体" w:cs="Times New Roman"/>
          <w:b/>
          <w:bCs/>
          <w:color w:val="auto"/>
          <w:sz w:val="20"/>
          <w:szCs w:val="22"/>
          <w:lang w:val="en-US" w:eastAsia="zh-CN"/>
        </w:rPr>
      </w:pP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Table</w:t>
      </w:r>
      <w:r>
        <w:rPr>
          <w:rFonts w:hint="eastAsia" w:cs="Times New Roman"/>
          <w:b/>
          <w:bCs/>
          <w:color w:val="auto"/>
          <w:sz w:val="20"/>
          <w:szCs w:val="22"/>
          <w:lang w:val="en-US" w:eastAsia="zh-CN"/>
        </w:rPr>
        <w:t xml:space="preserve"> 2.2-</w:t>
      </w:r>
      <w:r>
        <w:rPr>
          <w:rFonts w:hint="eastAsia" w:ascii="Times New Roman" w:hAnsi="Times New Roman" w:eastAsia="宋体" w:cs="Times New Roman"/>
          <w:b/>
          <w:bCs/>
          <w:color w:val="auto"/>
          <w:sz w:val="20"/>
          <w:szCs w:val="22"/>
          <w:lang w:val="en-US" w:eastAsia="zh-CN"/>
        </w:rPr>
        <w:t>1. Summary of related RF requirement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6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Tx requirements</w:t>
            </w:r>
          </w:p>
        </w:tc>
        <w:tc>
          <w:tcPr>
            <w:tcW w:w="6194"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default"/>
                <w:b/>
                <w:bCs/>
                <w:vertAlign w:val="baseline"/>
                <w:lang w:val="en-US" w:eastAsia="zh-CN"/>
              </w:rPr>
            </w:pPr>
            <w:bookmarkStart w:id="7" w:name="_Toc24574"/>
            <w:r>
              <w:rPr>
                <w:rFonts w:hint="eastAsia"/>
                <w:b/>
                <w:bCs/>
                <w:vertAlign w:val="baseline"/>
                <w:lang w:val="en-US" w:eastAsia="zh-CN"/>
              </w:rPr>
              <w:t>SAN output power</w:t>
            </w:r>
            <w:bookmarkEnd w:id="7"/>
            <w:r>
              <w:rPr>
                <w:rFonts w:hint="eastAsia"/>
                <w:b/>
                <w:bCs/>
                <w:vertAlign w:val="baseline"/>
                <w:lang w:val="en-US" w:eastAsia="zh-CN"/>
              </w:rPr>
              <w:t xml:space="preserve"> </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up to the declaration and no need to define any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bookmarkStart w:id="8" w:name="_Toc22538"/>
            <w:r>
              <w:rPr>
                <w:rFonts w:hint="eastAsia"/>
                <w:b/>
                <w:bCs/>
                <w:vertAlign w:val="baseline"/>
                <w:lang w:val="en-US" w:eastAsia="zh-CN"/>
              </w:rPr>
              <w:t>Output power dynamics</w:t>
            </w:r>
            <w:bookmarkEnd w:id="8"/>
          </w:p>
        </w:tc>
        <w:tc>
          <w:tcPr>
            <w:tcW w:w="6194" w:type="dxa"/>
            <w:vAlign w:val="top"/>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RE power control dynamic range</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Total power dynamic range</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 ON/OFF power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 since the Ka-band is 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Transmitted signal quality</w:t>
            </w:r>
          </w:p>
        </w:tc>
        <w:tc>
          <w:tcPr>
            <w:tcW w:w="6194" w:type="dxa"/>
          </w:tcPr>
          <w:p>
            <w:pPr>
              <w:pStyle w:val="41"/>
              <w:tabs>
                <w:tab w:val="left" w:pos="2474"/>
              </w:tabs>
              <w:bidi w:val="0"/>
              <w:ind w:left="0" w:leftChars="0" w:firstLine="0" w:firstLineChars="0"/>
              <w:rPr>
                <w:rFonts w:hint="default"/>
                <w:vertAlign w:val="baseline"/>
                <w:lang w:val="en-US" w:eastAsia="zh-CN"/>
              </w:rPr>
            </w:pPr>
            <w:r>
              <w:rPr>
                <w:rFonts w:hint="eastAsia"/>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Frequency error</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38.108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Modulation quality</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38.104. For DL 256QAM and 64QAM, this need more discussion similar as Rel-17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Time alignment error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is not applicable for NTN SAN since its channel characteristic is difficult to support the MIMO which is similar as Rel-17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Unwanted emissions</w:t>
            </w:r>
          </w:p>
        </w:tc>
        <w:tc>
          <w:tcPr>
            <w:tcW w:w="6194" w:type="dxa"/>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Occupied bandwidth</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to reuse the same requirement defined in TS38.108 which is following </w:t>
            </w:r>
            <w:r>
              <w:rPr>
                <w:rFonts w:cs="v4.2.0"/>
              </w:rPr>
              <w:t>ITU-R Recommendation SM.328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Adjacent Channel Leakage Power Ratio</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Operating band unwanted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 and ITU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Transmitter spurious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lang w:val="en-US" w:eastAsia="zh-CN"/>
              </w:rPr>
            </w:pPr>
            <w:r>
              <w:rPr>
                <w:rFonts w:hint="eastAsia"/>
                <w:vertAlign w:val="baseline"/>
                <w:lang w:val="en-US" w:eastAsia="zh-CN"/>
              </w:rPr>
              <w:t>to reuse the same spurious emission requirement defined in TS 38.108, however the upper frequency limit for DL need to be updated as 2</w:t>
            </w:r>
            <w:r>
              <w:rPr>
                <w:rFonts w:hint="eastAsia"/>
                <w:vertAlign w:val="superscript"/>
                <w:lang w:val="en-US" w:eastAsia="zh-CN"/>
              </w:rPr>
              <w:t>nd</w:t>
            </w:r>
            <w:r>
              <w:rPr>
                <w:rFonts w:hint="eastAsia"/>
                <w:vertAlign w:val="baseline"/>
                <w:lang w:val="en-US" w:eastAsia="zh-CN"/>
              </w:rPr>
              <w:t xml:space="preserve"> harmonic instead of 5</w:t>
            </w:r>
            <w:r>
              <w:rPr>
                <w:rFonts w:hint="eastAsia"/>
                <w:vertAlign w:val="superscript"/>
                <w:lang w:val="en-US" w:eastAsia="zh-CN"/>
              </w:rPr>
              <w:t>th</w:t>
            </w:r>
            <w:r>
              <w:rPr>
                <w:rFonts w:hint="eastAsia"/>
                <w:vertAlign w:val="baseline"/>
                <w:lang w:val="en-US" w:eastAsia="zh-CN"/>
              </w:rPr>
              <w:t xml:space="preserve"> harmonic if we follow the principle of TN BS spurious emission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Transmitter intermodulation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since it</w:t>
            </w:r>
            <w:r>
              <w:rPr>
                <w:rFonts w:hint="default"/>
                <w:vertAlign w:val="baseline"/>
                <w:lang w:val="en-US" w:eastAsia="zh-CN"/>
              </w:rPr>
              <w:t>’</w:t>
            </w:r>
            <w:r>
              <w:rPr>
                <w:rFonts w:hint="eastAsia"/>
                <w:vertAlign w:val="baseline"/>
                <w:lang w:val="en-US" w:eastAsia="zh-CN"/>
              </w:rPr>
              <w:t>s supposed to have no surrounding interfering gNB next to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Rx requirement</w:t>
            </w:r>
          </w:p>
        </w:tc>
        <w:tc>
          <w:tcPr>
            <w:tcW w:w="6194" w:type="dxa"/>
            <w:shd w:val="clear" w:color="auto" w:fill="D7D7D7" w:themeFill="background1" w:themeFillShade="D8"/>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Reference sensitivity level</w:t>
            </w: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Declaration basis according to the noise figure of SAN, antenna array configuration, the target SNR, FRC.</w:t>
            </w:r>
          </w:p>
          <w:p>
            <w:pPr>
              <w:pStyle w:val="41"/>
              <w:bidi w:val="0"/>
              <w:ind w:left="0" w:leftChars="0" w:firstLine="0" w:firstLineChars="0"/>
              <w:rPr>
                <w:rFonts w:hint="eastAsia"/>
                <w:vertAlign w:val="baseline"/>
                <w:lang w:val="en-US" w:eastAsia="zh-CN"/>
              </w:rPr>
            </w:pPr>
            <w:r>
              <w:rPr>
                <w:rFonts w:hint="eastAsia"/>
                <w:vertAlign w:val="baseline"/>
                <w:lang w:val="en-US" w:eastAsia="zh-CN"/>
              </w:rPr>
              <w:t>The existing FRC for TN BS in FR2 could be reused if system parameter in other agenda is agreeable.</w:t>
            </w:r>
          </w:p>
          <w:p>
            <w:pPr>
              <w:pStyle w:val="41"/>
              <w:bidi w:val="0"/>
              <w:ind w:left="0" w:leftChars="0" w:firstLine="0" w:firstLineChars="0"/>
              <w:rPr>
                <w:rFonts w:hint="default"/>
                <w:vertAlign w:val="baseline"/>
                <w:lang w:val="en-US" w:eastAsia="zh-CN"/>
              </w:rPr>
            </w:pPr>
            <w:r>
              <w:rPr>
                <w:rFonts w:hint="eastAsia"/>
                <w:vertAlign w:val="baseline"/>
                <w:lang w:val="en-US" w:eastAsia="zh-CN"/>
              </w:rPr>
              <w:t>It should be noted that antenna array between transmitter and receiver could be different which are different from the legacy TN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 xml:space="preserve">Dynamic range </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more evaluation results for IoT level in the uplink are needed similar as Rel-17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ACS</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In-band blocking</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Out of band blocking</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to start with OOBB power level as -44dBm and this should be changed to V/m in the OTA chamber.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Receiver spurious emission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for FDD 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Receiver intermodulation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since it</w:t>
            </w:r>
            <w:r>
              <w:rPr>
                <w:rFonts w:hint="default"/>
                <w:vertAlign w:val="baseline"/>
                <w:lang w:val="en-US" w:eastAsia="zh-CN"/>
              </w:rPr>
              <w:t>’</w:t>
            </w:r>
            <w:r>
              <w:rPr>
                <w:rFonts w:hint="eastAsia"/>
                <w:vertAlign w:val="baseline"/>
                <w:lang w:val="en-US" w:eastAsia="zh-CN"/>
              </w:rPr>
              <w:t>s supposed to have no surrounding interfering gNB next to gNB which is similar as transmitter intermodulation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In-channel selectivity</w:t>
            </w:r>
          </w:p>
        </w:tc>
        <w:tc>
          <w:tcPr>
            <w:tcW w:w="6194" w:type="dxa"/>
          </w:tcPr>
          <w:p>
            <w:pPr>
              <w:rPr>
                <w:rFonts w:hint="default"/>
                <w:szCs w:val="24"/>
                <w:highlight w:val="yellow"/>
                <w:lang w:val="en-US" w:eastAsia="zh-CN"/>
              </w:rPr>
            </w:pPr>
            <w:r>
              <w:rPr>
                <w:rFonts w:hint="eastAsia"/>
                <w:vertAlign w:val="baseline"/>
                <w:lang w:val="en-US" w:eastAsia="zh-CN"/>
              </w:rPr>
              <w:t>more evaluation results for IoT level in the uplink are needed similar as Rel-17 NR over NTN.</w:t>
            </w:r>
          </w:p>
        </w:tc>
      </w:tr>
    </w:tbl>
    <w:p>
      <w:pPr>
        <w:pStyle w:val="34"/>
        <w:numPr>
          <w:ilvl w:val="0"/>
          <w:numId w:val="0"/>
        </w:numPr>
        <w:rPr>
          <w:rFonts w:hint="default" w:eastAsia="Times New Roman" w:cs="Times New Roman"/>
          <w:kern w:val="0"/>
          <w:sz w:val="20"/>
          <w:szCs w:val="20"/>
          <w:highlight w:val="none"/>
          <w:lang w:val="en-US" w:eastAsia="zh-CN" w:bidi="ar-SA"/>
        </w:rPr>
      </w:pPr>
    </w:p>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initial views on </w:t>
      </w:r>
      <w:r>
        <w:rPr>
          <w:rFonts w:hint="eastAsia"/>
          <w:lang w:val="en-US" w:eastAsia="zh-CN"/>
        </w:rPr>
        <w:t>NTN SAN</w:t>
      </w:r>
      <w:r>
        <w:rPr>
          <w:rFonts w:hint="eastAsia" w:eastAsia="宋体"/>
          <w:lang w:val="en-US" w:eastAsia="zh-CN"/>
        </w:rPr>
        <w:t xml:space="preserve"> RF requirements.</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Bdr>
          <w:top w:val="none" w:color="auto" w:sz="0" w:space="0"/>
          <w:left w:val="none" w:color="auto" w:sz="0" w:space="0"/>
          <w:bottom w:val="none" w:color="auto" w:sz="0" w:space="0"/>
          <w:right w:val="none" w:color="auto" w:sz="0" w:space="0"/>
          <w:between w:val="none" w:color="auto" w:sz="0" w:space="0"/>
        </w:pBdr>
        <w:tabs>
          <w:tab w:val="left" w:pos="2127"/>
        </w:tabs>
        <w:jc w:val="both"/>
        <w:outlineLvl w:val="9"/>
        <w:rPr>
          <w:rFonts w:hint="eastAsia" w:cs="Times New Roman"/>
          <w:b w:val="0"/>
          <w:bCs w:val="0"/>
          <w:sz w:val="20"/>
          <w:szCs w:val="20"/>
          <w:highlight w:val="none"/>
          <w:lang w:val="en-US" w:eastAsia="zh-CN"/>
        </w:rPr>
      </w:pPr>
      <w:r>
        <w:rPr>
          <w:rFonts w:hint="eastAsia" w:cs="Times New Roman"/>
          <w:b/>
          <w:bCs/>
          <w:sz w:val="20"/>
          <w:szCs w:val="20"/>
          <w:highlight w:val="none"/>
          <w:lang w:val="en-US" w:eastAsia="zh-CN"/>
        </w:rPr>
        <w:t>Proposal 1:</w:t>
      </w:r>
      <w:r>
        <w:rPr>
          <w:rFonts w:hint="eastAsia" w:cs="Times New Roman"/>
          <w:b w:val="0"/>
          <w:bCs w:val="0"/>
          <w:sz w:val="20"/>
          <w:szCs w:val="20"/>
          <w:highlight w:val="none"/>
          <w:lang w:val="en-US" w:eastAsia="zh-CN"/>
        </w:rPr>
        <w:t xml:space="preserve"> to define SAN type 2-O for NTN Ka-band.</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eastAsia" w:cs="Times New Roman"/>
          <w:b w:val="0"/>
          <w:bCs w:val="0"/>
          <w:sz w:val="20"/>
          <w:szCs w:val="20"/>
          <w:highlight w:val="none"/>
          <w:lang w:val="en-US" w:eastAsia="zh-CN"/>
        </w:rPr>
      </w:pPr>
      <w:r>
        <w:rPr>
          <w:rFonts w:hint="eastAsia" w:cs="Times New Roman"/>
          <w:b/>
          <w:bCs/>
          <w:sz w:val="20"/>
          <w:szCs w:val="20"/>
          <w:highlight w:val="none"/>
          <w:lang w:val="en-US" w:eastAsia="zh-CN"/>
        </w:rPr>
        <w:t>Proposal 2:</w:t>
      </w:r>
      <w:r>
        <w:rPr>
          <w:rFonts w:hint="eastAsia" w:cs="Times New Roman"/>
          <w:b w:val="0"/>
          <w:bCs w:val="0"/>
          <w:sz w:val="20"/>
          <w:szCs w:val="20"/>
          <w:highlight w:val="none"/>
          <w:lang w:val="en-US" w:eastAsia="zh-CN"/>
        </w:rPr>
        <w:t xml:space="preserve"> to define GEO and LEO SAN class (including LEO-600km and LEO-1200km) for NTN Ka-band and FFS for MEO SAN class.</w:t>
      </w:r>
    </w:p>
    <w:p>
      <w:pPr>
        <w:keepNext w:val="0"/>
        <w:keepLines w:val="0"/>
        <w:pageBreakBefore w:val="0"/>
        <w:widowControl/>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jc w:val="both"/>
        <w:textAlignment w:val="auto"/>
        <w:outlineLvl w:val="9"/>
        <w:rPr>
          <w:rFonts w:hint="default"/>
          <w:lang w:val="en-US" w:eastAsia="zh-CN"/>
        </w:rPr>
      </w:pPr>
      <w:r>
        <w:rPr>
          <w:rFonts w:hint="eastAsia" w:cs="Times New Roman"/>
          <w:b/>
          <w:bCs/>
          <w:sz w:val="20"/>
          <w:szCs w:val="20"/>
          <w:highlight w:val="none"/>
          <w:lang w:val="en-US" w:eastAsia="zh-CN"/>
        </w:rPr>
        <w:t>Proposal 3:</w:t>
      </w:r>
      <w:r>
        <w:rPr>
          <w:rFonts w:hint="eastAsia" w:cs="Times New Roman"/>
          <w:b w:val="0"/>
          <w:bCs w:val="0"/>
          <w:sz w:val="20"/>
          <w:szCs w:val="20"/>
          <w:highlight w:val="none"/>
          <w:lang w:val="en-US" w:eastAsia="zh-CN"/>
        </w:rPr>
        <w:t xml:space="preserve"> to define SAN RF requirement for NTN in Ka-band as proposed in table 2.2-1.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790"/>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3D6D13"/>
    <w:rsid w:val="01442D89"/>
    <w:rsid w:val="01522256"/>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AD137B"/>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41A7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BD72F7"/>
    <w:rsid w:val="03C0647A"/>
    <w:rsid w:val="03C6618A"/>
    <w:rsid w:val="03CD06E1"/>
    <w:rsid w:val="03CD6E1F"/>
    <w:rsid w:val="03D4427A"/>
    <w:rsid w:val="03E54642"/>
    <w:rsid w:val="03E66EC6"/>
    <w:rsid w:val="03F210AC"/>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BB3FB4"/>
    <w:rsid w:val="04CC58AA"/>
    <w:rsid w:val="04D66461"/>
    <w:rsid w:val="04E06510"/>
    <w:rsid w:val="04F12F12"/>
    <w:rsid w:val="051034CD"/>
    <w:rsid w:val="051F43BC"/>
    <w:rsid w:val="052432F7"/>
    <w:rsid w:val="05280A89"/>
    <w:rsid w:val="05367F8C"/>
    <w:rsid w:val="053E1AC2"/>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93A8C"/>
    <w:rsid w:val="064A35EA"/>
    <w:rsid w:val="064B521E"/>
    <w:rsid w:val="064C2727"/>
    <w:rsid w:val="065740AF"/>
    <w:rsid w:val="065A56A2"/>
    <w:rsid w:val="06642859"/>
    <w:rsid w:val="0665756F"/>
    <w:rsid w:val="066F6122"/>
    <w:rsid w:val="06735C62"/>
    <w:rsid w:val="067570AB"/>
    <w:rsid w:val="067A4B9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30672"/>
    <w:rsid w:val="06F35A7A"/>
    <w:rsid w:val="06F35AB6"/>
    <w:rsid w:val="06F66B05"/>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275719"/>
    <w:rsid w:val="0835476E"/>
    <w:rsid w:val="08367FC2"/>
    <w:rsid w:val="08391661"/>
    <w:rsid w:val="083E0F5E"/>
    <w:rsid w:val="084E0029"/>
    <w:rsid w:val="08550FFB"/>
    <w:rsid w:val="085D6C7E"/>
    <w:rsid w:val="08611CAF"/>
    <w:rsid w:val="0865781A"/>
    <w:rsid w:val="0866133E"/>
    <w:rsid w:val="08692F64"/>
    <w:rsid w:val="087716A2"/>
    <w:rsid w:val="08780590"/>
    <w:rsid w:val="08782ED9"/>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0A222A"/>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CE6204B"/>
    <w:rsid w:val="0CF5634C"/>
    <w:rsid w:val="0D0213CD"/>
    <w:rsid w:val="0D04575D"/>
    <w:rsid w:val="0D0612B8"/>
    <w:rsid w:val="0D066A9C"/>
    <w:rsid w:val="0D0714BC"/>
    <w:rsid w:val="0D136EF9"/>
    <w:rsid w:val="0D1A52C8"/>
    <w:rsid w:val="0D1C1D16"/>
    <w:rsid w:val="0D1E5067"/>
    <w:rsid w:val="0D21615D"/>
    <w:rsid w:val="0D2454BF"/>
    <w:rsid w:val="0D2767B5"/>
    <w:rsid w:val="0D2904F2"/>
    <w:rsid w:val="0D3E327E"/>
    <w:rsid w:val="0D432A3E"/>
    <w:rsid w:val="0D480AA9"/>
    <w:rsid w:val="0D5800C7"/>
    <w:rsid w:val="0D5B6E86"/>
    <w:rsid w:val="0D604B9B"/>
    <w:rsid w:val="0D63712E"/>
    <w:rsid w:val="0D6A353C"/>
    <w:rsid w:val="0D826C81"/>
    <w:rsid w:val="0D904522"/>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31B01"/>
    <w:rsid w:val="0E176FCD"/>
    <w:rsid w:val="0E1C0C6C"/>
    <w:rsid w:val="0E281319"/>
    <w:rsid w:val="0E3217E8"/>
    <w:rsid w:val="0E387AA5"/>
    <w:rsid w:val="0E3F0E9A"/>
    <w:rsid w:val="0E400D03"/>
    <w:rsid w:val="0E485C9B"/>
    <w:rsid w:val="0E4D4B22"/>
    <w:rsid w:val="0E503F53"/>
    <w:rsid w:val="0E5E2B07"/>
    <w:rsid w:val="0E7135C8"/>
    <w:rsid w:val="0E752596"/>
    <w:rsid w:val="0E771E51"/>
    <w:rsid w:val="0E796EA0"/>
    <w:rsid w:val="0E7A2A61"/>
    <w:rsid w:val="0E7C0762"/>
    <w:rsid w:val="0E8118C0"/>
    <w:rsid w:val="0E9A17E3"/>
    <w:rsid w:val="0EA11114"/>
    <w:rsid w:val="0EA35AC0"/>
    <w:rsid w:val="0EAE2C59"/>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D95333"/>
    <w:rsid w:val="0FEB0378"/>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B0ADF"/>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018CE"/>
    <w:rsid w:val="12220941"/>
    <w:rsid w:val="122403B4"/>
    <w:rsid w:val="122A6318"/>
    <w:rsid w:val="122C6138"/>
    <w:rsid w:val="123616D6"/>
    <w:rsid w:val="12396B0A"/>
    <w:rsid w:val="123A52C3"/>
    <w:rsid w:val="123E0CDC"/>
    <w:rsid w:val="125A02CC"/>
    <w:rsid w:val="126405F6"/>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44D52"/>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976C9"/>
    <w:rsid w:val="144C6544"/>
    <w:rsid w:val="14547289"/>
    <w:rsid w:val="14794C74"/>
    <w:rsid w:val="14812D74"/>
    <w:rsid w:val="14836C15"/>
    <w:rsid w:val="14862300"/>
    <w:rsid w:val="148C00A0"/>
    <w:rsid w:val="148D3653"/>
    <w:rsid w:val="149E0A7B"/>
    <w:rsid w:val="14A82A63"/>
    <w:rsid w:val="14A86EA4"/>
    <w:rsid w:val="14AC358C"/>
    <w:rsid w:val="14B76730"/>
    <w:rsid w:val="14C767C8"/>
    <w:rsid w:val="14CA142F"/>
    <w:rsid w:val="14DE753E"/>
    <w:rsid w:val="14E64628"/>
    <w:rsid w:val="14F51028"/>
    <w:rsid w:val="14F549EC"/>
    <w:rsid w:val="14F92549"/>
    <w:rsid w:val="14FB4950"/>
    <w:rsid w:val="14FD4800"/>
    <w:rsid w:val="14FE45D8"/>
    <w:rsid w:val="150650CB"/>
    <w:rsid w:val="150E6B8B"/>
    <w:rsid w:val="15157DF4"/>
    <w:rsid w:val="151B0462"/>
    <w:rsid w:val="151C45D8"/>
    <w:rsid w:val="15290336"/>
    <w:rsid w:val="15297BD7"/>
    <w:rsid w:val="152E148D"/>
    <w:rsid w:val="1532496F"/>
    <w:rsid w:val="154D4A84"/>
    <w:rsid w:val="155424D6"/>
    <w:rsid w:val="155605E9"/>
    <w:rsid w:val="155B1745"/>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4476E"/>
    <w:rsid w:val="15C61DCD"/>
    <w:rsid w:val="15D4474D"/>
    <w:rsid w:val="15D7597F"/>
    <w:rsid w:val="15F37B37"/>
    <w:rsid w:val="160C437B"/>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CF5EC8"/>
    <w:rsid w:val="17D47D7C"/>
    <w:rsid w:val="17D77CA7"/>
    <w:rsid w:val="17DD34AB"/>
    <w:rsid w:val="17F215BE"/>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B781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6A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3072C"/>
    <w:rsid w:val="1A045B87"/>
    <w:rsid w:val="1A210157"/>
    <w:rsid w:val="1A365F00"/>
    <w:rsid w:val="1A421AAF"/>
    <w:rsid w:val="1A484A02"/>
    <w:rsid w:val="1A4D1CE1"/>
    <w:rsid w:val="1A5760FC"/>
    <w:rsid w:val="1A5B0C0F"/>
    <w:rsid w:val="1A5F7253"/>
    <w:rsid w:val="1A6A0EEA"/>
    <w:rsid w:val="1A6D22C8"/>
    <w:rsid w:val="1A725418"/>
    <w:rsid w:val="1A79002F"/>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F42C3"/>
    <w:rsid w:val="1B324397"/>
    <w:rsid w:val="1B372EB9"/>
    <w:rsid w:val="1B39636C"/>
    <w:rsid w:val="1B40005E"/>
    <w:rsid w:val="1B4268B4"/>
    <w:rsid w:val="1B427936"/>
    <w:rsid w:val="1B5D3106"/>
    <w:rsid w:val="1B7906CE"/>
    <w:rsid w:val="1B7D07F3"/>
    <w:rsid w:val="1B831B2B"/>
    <w:rsid w:val="1B9219EE"/>
    <w:rsid w:val="1B944685"/>
    <w:rsid w:val="1B9B3AD0"/>
    <w:rsid w:val="1BA258AE"/>
    <w:rsid w:val="1BA57F07"/>
    <w:rsid w:val="1BAA3905"/>
    <w:rsid w:val="1BB01F6E"/>
    <w:rsid w:val="1BB81DD8"/>
    <w:rsid w:val="1BB848C7"/>
    <w:rsid w:val="1BB86F3A"/>
    <w:rsid w:val="1BCA7505"/>
    <w:rsid w:val="1BD91032"/>
    <w:rsid w:val="1BDD2FB0"/>
    <w:rsid w:val="1BEF7D4B"/>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CF44A6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304B88"/>
    <w:rsid w:val="1E3E02E7"/>
    <w:rsid w:val="1E56227E"/>
    <w:rsid w:val="1E645DE1"/>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FC15D3"/>
    <w:rsid w:val="1F032258"/>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22E52"/>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61B20"/>
    <w:rsid w:val="213B2C5F"/>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A4334"/>
    <w:rsid w:val="224E39DE"/>
    <w:rsid w:val="224E74D0"/>
    <w:rsid w:val="225C1E49"/>
    <w:rsid w:val="22713317"/>
    <w:rsid w:val="227F5037"/>
    <w:rsid w:val="228041D7"/>
    <w:rsid w:val="228A008B"/>
    <w:rsid w:val="228A2082"/>
    <w:rsid w:val="228D63FC"/>
    <w:rsid w:val="229A7E25"/>
    <w:rsid w:val="22AA0362"/>
    <w:rsid w:val="22AA773F"/>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F0F84"/>
    <w:rsid w:val="23415924"/>
    <w:rsid w:val="23437735"/>
    <w:rsid w:val="2344557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3FF2778"/>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8E5674"/>
    <w:rsid w:val="249A5E20"/>
    <w:rsid w:val="249C2676"/>
    <w:rsid w:val="249C6208"/>
    <w:rsid w:val="249E39E8"/>
    <w:rsid w:val="24A20ED0"/>
    <w:rsid w:val="24A34E4A"/>
    <w:rsid w:val="24AC41BF"/>
    <w:rsid w:val="24B413B4"/>
    <w:rsid w:val="24B631A8"/>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9419F"/>
    <w:rsid w:val="274A7B1A"/>
    <w:rsid w:val="275439E1"/>
    <w:rsid w:val="275658F1"/>
    <w:rsid w:val="276320D7"/>
    <w:rsid w:val="276F3D3A"/>
    <w:rsid w:val="27744B4E"/>
    <w:rsid w:val="278A6416"/>
    <w:rsid w:val="279408D2"/>
    <w:rsid w:val="279A2ED3"/>
    <w:rsid w:val="27A23025"/>
    <w:rsid w:val="27A46397"/>
    <w:rsid w:val="27B02558"/>
    <w:rsid w:val="27B03EC1"/>
    <w:rsid w:val="27B91021"/>
    <w:rsid w:val="27C06D17"/>
    <w:rsid w:val="27C66099"/>
    <w:rsid w:val="27CA7CDA"/>
    <w:rsid w:val="27FE4240"/>
    <w:rsid w:val="280008FF"/>
    <w:rsid w:val="28050D91"/>
    <w:rsid w:val="280B0292"/>
    <w:rsid w:val="281035C6"/>
    <w:rsid w:val="28140E2A"/>
    <w:rsid w:val="28251AF8"/>
    <w:rsid w:val="28255041"/>
    <w:rsid w:val="283832F0"/>
    <w:rsid w:val="283A1E3E"/>
    <w:rsid w:val="284543A1"/>
    <w:rsid w:val="28553E1D"/>
    <w:rsid w:val="2866568E"/>
    <w:rsid w:val="28693318"/>
    <w:rsid w:val="286B3B61"/>
    <w:rsid w:val="28765DD5"/>
    <w:rsid w:val="28821314"/>
    <w:rsid w:val="288C67BD"/>
    <w:rsid w:val="2891501A"/>
    <w:rsid w:val="28937E6D"/>
    <w:rsid w:val="28A66523"/>
    <w:rsid w:val="28AD2029"/>
    <w:rsid w:val="28AE4FA7"/>
    <w:rsid w:val="28B220F4"/>
    <w:rsid w:val="28BD44AE"/>
    <w:rsid w:val="28C075A4"/>
    <w:rsid w:val="28CE2A8C"/>
    <w:rsid w:val="28D139F1"/>
    <w:rsid w:val="28D5169B"/>
    <w:rsid w:val="28DA6C60"/>
    <w:rsid w:val="28DB0A30"/>
    <w:rsid w:val="28F33F0D"/>
    <w:rsid w:val="28F72DB8"/>
    <w:rsid w:val="28F925C2"/>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306D9"/>
    <w:rsid w:val="2994709A"/>
    <w:rsid w:val="29981CF5"/>
    <w:rsid w:val="29A4634A"/>
    <w:rsid w:val="29A84DD1"/>
    <w:rsid w:val="29AA2390"/>
    <w:rsid w:val="29B301F6"/>
    <w:rsid w:val="29B85AFC"/>
    <w:rsid w:val="29BB286D"/>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592A46"/>
    <w:rsid w:val="2B5B7165"/>
    <w:rsid w:val="2B611B55"/>
    <w:rsid w:val="2B686C09"/>
    <w:rsid w:val="2B795BD8"/>
    <w:rsid w:val="2B8759DF"/>
    <w:rsid w:val="2B8B34AB"/>
    <w:rsid w:val="2B914C5E"/>
    <w:rsid w:val="2BA252E6"/>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640189"/>
    <w:rsid w:val="2D726428"/>
    <w:rsid w:val="2D7A06F1"/>
    <w:rsid w:val="2D8151A4"/>
    <w:rsid w:val="2DA02E9C"/>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D4759"/>
    <w:rsid w:val="2FAD5866"/>
    <w:rsid w:val="2FB91323"/>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67719D"/>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97ABC"/>
    <w:rsid w:val="311D5B14"/>
    <w:rsid w:val="31210E7A"/>
    <w:rsid w:val="312D1F98"/>
    <w:rsid w:val="31357B5D"/>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B3EFC"/>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96A63"/>
    <w:rsid w:val="36BA14F4"/>
    <w:rsid w:val="36D009E5"/>
    <w:rsid w:val="36D27C18"/>
    <w:rsid w:val="36D512A9"/>
    <w:rsid w:val="36D934D3"/>
    <w:rsid w:val="36D94280"/>
    <w:rsid w:val="36DE2053"/>
    <w:rsid w:val="36E07ED3"/>
    <w:rsid w:val="36E619DE"/>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6203C"/>
    <w:rsid w:val="375D4473"/>
    <w:rsid w:val="37615F3C"/>
    <w:rsid w:val="376B106B"/>
    <w:rsid w:val="377963D6"/>
    <w:rsid w:val="37840F0B"/>
    <w:rsid w:val="37866279"/>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54707"/>
    <w:rsid w:val="38A61C5A"/>
    <w:rsid w:val="38AB306B"/>
    <w:rsid w:val="38B9506E"/>
    <w:rsid w:val="38BF2270"/>
    <w:rsid w:val="38C0788B"/>
    <w:rsid w:val="38C33701"/>
    <w:rsid w:val="38C43916"/>
    <w:rsid w:val="38D05F26"/>
    <w:rsid w:val="38D124F5"/>
    <w:rsid w:val="38D504F4"/>
    <w:rsid w:val="38D95A84"/>
    <w:rsid w:val="38E11AA1"/>
    <w:rsid w:val="38E166D4"/>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0711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4931"/>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74B7E"/>
    <w:rsid w:val="3C9E64A0"/>
    <w:rsid w:val="3CA41337"/>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2796"/>
    <w:rsid w:val="3CFE44BF"/>
    <w:rsid w:val="3D035272"/>
    <w:rsid w:val="3D0B7E6F"/>
    <w:rsid w:val="3D0F1231"/>
    <w:rsid w:val="3D163A6F"/>
    <w:rsid w:val="3D184661"/>
    <w:rsid w:val="3D200D7C"/>
    <w:rsid w:val="3D233D0C"/>
    <w:rsid w:val="3D272F24"/>
    <w:rsid w:val="3D3662C4"/>
    <w:rsid w:val="3D47670E"/>
    <w:rsid w:val="3D4A3942"/>
    <w:rsid w:val="3D4D7CF8"/>
    <w:rsid w:val="3D58163A"/>
    <w:rsid w:val="3D5A05E2"/>
    <w:rsid w:val="3D5C63D4"/>
    <w:rsid w:val="3D5E50E6"/>
    <w:rsid w:val="3D5F6029"/>
    <w:rsid w:val="3D611CC7"/>
    <w:rsid w:val="3D6223C0"/>
    <w:rsid w:val="3D641D7A"/>
    <w:rsid w:val="3D666282"/>
    <w:rsid w:val="3D7618FA"/>
    <w:rsid w:val="3D766E42"/>
    <w:rsid w:val="3D791797"/>
    <w:rsid w:val="3D807BCD"/>
    <w:rsid w:val="3D82057E"/>
    <w:rsid w:val="3D832B00"/>
    <w:rsid w:val="3D8522AA"/>
    <w:rsid w:val="3D8A0C19"/>
    <w:rsid w:val="3D9816B4"/>
    <w:rsid w:val="3D990197"/>
    <w:rsid w:val="3D9A0655"/>
    <w:rsid w:val="3DA22306"/>
    <w:rsid w:val="3DA41777"/>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67FB0"/>
    <w:rsid w:val="3E680BF1"/>
    <w:rsid w:val="3E780453"/>
    <w:rsid w:val="3E7A1C88"/>
    <w:rsid w:val="3E844725"/>
    <w:rsid w:val="3E8B095A"/>
    <w:rsid w:val="3E8D66A1"/>
    <w:rsid w:val="3E8E6C82"/>
    <w:rsid w:val="3E942719"/>
    <w:rsid w:val="3E943FDD"/>
    <w:rsid w:val="3E964C29"/>
    <w:rsid w:val="3E9A19C5"/>
    <w:rsid w:val="3E9E1F00"/>
    <w:rsid w:val="3E9E3078"/>
    <w:rsid w:val="3EAC3BDD"/>
    <w:rsid w:val="3EB767A1"/>
    <w:rsid w:val="3EBB7EC0"/>
    <w:rsid w:val="3EC31440"/>
    <w:rsid w:val="3EC5174F"/>
    <w:rsid w:val="3EC51CAD"/>
    <w:rsid w:val="3EC80A9D"/>
    <w:rsid w:val="3ECA3919"/>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5537F"/>
    <w:rsid w:val="3F2B184D"/>
    <w:rsid w:val="3F2C7646"/>
    <w:rsid w:val="3F2F01F0"/>
    <w:rsid w:val="3F3C6744"/>
    <w:rsid w:val="3F421D47"/>
    <w:rsid w:val="3F441B08"/>
    <w:rsid w:val="3F4A4087"/>
    <w:rsid w:val="3F5361F5"/>
    <w:rsid w:val="3F556D23"/>
    <w:rsid w:val="3F6B3632"/>
    <w:rsid w:val="3F6C22A1"/>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A4EA4"/>
    <w:rsid w:val="406D461C"/>
    <w:rsid w:val="406F7D87"/>
    <w:rsid w:val="40734E04"/>
    <w:rsid w:val="407A5C67"/>
    <w:rsid w:val="40825FDB"/>
    <w:rsid w:val="40836EAD"/>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B36BA"/>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F875D5"/>
    <w:rsid w:val="430A5FFD"/>
    <w:rsid w:val="43112BE5"/>
    <w:rsid w:val="43120C73"/>
    <w:rsid w:val="431B56C6"/>
    <w:rsid w:val="431C7B04"/>
    <w:rsid w:val="432466AA"/>
    <w:rsid w:val="432E5E21"/>
    <w:rsid w:val="43302B8C"/>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92DF3"/>
    <w:rsid w:val="44F82D0E"/>
    <w:rsid w:val="451C5E9C"/>
    <w:rsid w:val="45214561"/>
    <w:rsid w:val="452C5F0A"/>
    <w:rsid w:val="453579B0"/>
    <w:rsid w:val="4537667A"/>
    <w:rsid w:val="45385EDA"/>
    <w:rsid w:val="453F48AB"/>
    <w:rsid w:val="454036A6"/>
    <w:rsid w:val="45446179"/>
    <w:rsid w:val="454E0AAC"/>
    <w:rsid w:val="454E4F75"/>
    <w:rsid w:val="454E6B7A"/>
    <w:rsid w:val="45507D88"/>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5F82939"/>
    <w:rsid w:val="460D3781"/>
    <w:rsid w:val="46365246"/>
    <w:rsid w:val="46466453"/>
    <w:rsid w:val="464871AD"/>
    <w:rsid w:val="464E3AE9"/>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D730B6"/>
    <w:rsid w:val="47DD6A91"/>
    <w:rsid w:val="47E62C82"/>
    <w:rsid w:val="47E9396D"/>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6A5627"/>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864B3"/>
    <w:rsid w:val="4A09499E"/>
    <w:rsid w:val="4A14785B"/>
    <w:rsid w:val="4A175A09"/>
    <w:rsid w:val="4A2E7749"/>
    <w:rsid w:val="4A381BA6"/>
    <w:rsid w:val="4A3926E2"/>
    <w:rsid w:val="4A4172CE"/>
    <w:rsid w:val="4A43236C"/>
    <w:rsid w:val="4A490CA8"/>
    <w:rsid w:val="4A4A176A"/>
    <w:rsid w:val="4A5370A6"/>
    <w:rsid w:val="4A5C4447"/>
    <w:rsid w:val="4A5C6983"/>
    <w:rsid w:val="4A652ED9"/>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56259"/>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56F7D"/>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82701"/>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638FF"/>
    <w:rsid w:val="549C6534"/>
    <w:rsid w:val="54A14490"/>
    <w:rsid w:val="54A153FA"/>
    <w:rsid w:val="54AB29C5"/>
    <w:rsid w:val="54AB36A1"/>
    <w:rsid w:val="54B171C4"/>
    <w:rsid w:val="54B61DA8"/>
    <w:rsid w:val="54B62C99"/>
    <w:rsid w:val="54CC47C4"/>
    <w:rsid w:val="54DF688B"/>
    <w:rsid w:val="54E95643"/>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AB1B1D"/>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73380"/>
    <w:rsid w:val="563B616D"/>
    <w:rsid w:val="56436207"/>
    <w:rsid w:val="56456373"/>
    <w:rsid w:val="5655420D"/>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5F394E"/>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53B69"/>
    <w:rsid w:val="5878285F"/>
    <w:rsid w:val="58783508"/>
    <w:rsid w:val="58785165"/>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267EF0"/>
    <w:rsid w:val="59376E4C"/>
    <w:rsid w:val="59421F7E"/>
    <w:rsid w:val="59424509"/>
    <w:rsid w:val="594935F2"/>
    <w:rsid w:val="594C2750"/>
    <w:rsid w:val="595C0946"/>
    <w:rsid w:val="595E5D41"/>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CC7D5A"/>
    <w:rsid w:val="59D2091A"/>
    <w:rsid w:val="59D906FD"/>
    <w:rsid w:val="59D96DAD"/>
    <w:rsid w:val="59DA6C9E"/>
    <w:rsid w:val="59E11C9B"/>
    <w:rsid w:val="59EB0D06"/>
    <w:rsid w:val="59F32024"/>
    <w:rsid w:val="59F44D39"/>
    <w:rsid w:val="59F511B7"/>
    <w:rsid w:val="59FF2F18"/>
    <w:rsid w:val="5A05470A"/>
    <w:rsid w:val="5A0640DE"/>
    <w:rsid w:val="5A0F06AB"/>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04083"/>
    <w:rsid w:val="5AC366EB"/>
    <w:rsid w:val="5AC43AE0"/>
    <w:rsid w:val="5AC4427C"/>
    <w:rsid w:val="5AD054B7"/>
    <w:rsid w:val="5AD149C0"/>
    <w:rsid w:val="5AD20D04"/>
    <w:rsid w:val="5AD510F0"/>
    <w:rsid w:val="5AF82FCA"/>
    <w:rsid w:val="5AF8657A"/>
    <w:rsid w:val="5AFE5C3F"/>
    <w:rsid w:val="5B000850"/>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791770"/>
    <w:rsid w:val="5B896F76"/>
    <w:rsid w:val="5B8F287C"/>
    <w:rsid w:val="5B9319B5"/>
    <w:rsid w:val="5B970D2E"/>
    <w:rsid w:val="5B975E5B"/>
    <w:rsid w:val="5B9C0984"/>
    <w:rsid w:val="5BA65080"/>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BF4297"/>
    <w:rsid w:val="5CC43404"/>
    <w:rsid w:val="5CC93DAE"/>
    <w:rsid w:val="5CD31EE3"/>
    <w:rsid w:val="5CDD3D6B"/>
    <w:rsid w:val="5CE1654F"/>
    <w:rsid w:val="5CE47CF9"/>
    <w:rsid w:val="5CEB1D70"/>
    <w:rsid w:val="5CF45558"/>
    <w:rsid w:val="5CF70E19"/>
    <w:rsid w:val="5D00730C"/>
    <w:rsid w:val="5D072BC8"/>
    <w:rsid w:val="5D076525"/>
    <w:rsid w:val="5D0A3A75"/>
    <w:rsid w:val="5D160574"/>
    <w:rsid w:val="5D19384D"/>
    <w:rsid w:val="5D22473A"/>
    <w:rsid w:val="5D237B4C"/>
    <w:rsid w:val="5D2B5629"/>
    <w:rsid w:val="5D301CD3"/>
    <w:rsid w:val="5D315CEB"/>
    <w:rsid w:val="5D326462"/>
    <w:rsid w:val="5D340EDB"/>
    <w:rsid w:val="5D3926A3"/>
    <w:rsid w:val="5D3B59DF"/>
    <w:rsid w:val="5D473075"/>
    <w:rsid w:val="5D475E41"/>
    <w:rsid w:val="5D4822EE"/>
    <w:rsid w:val="5D5864DB"/>
    <w:rsid w:val="5D73393B"/>
    <w:rsid w:val="5D76353B"/>
    <w:rsid w:val="5D784379"/>
    <w:rsid w:val="5D7B3457"/>
    <w:rsid w:val="5D826C13"/>
    <w:rsid w:val="5D8B2715"/>
    <w:rsid w:val="5D8C20FA"/>
    <w:rsid w:val="5D8D250E"/>
    <w:rsid w:val="5D8F399C"/>
    <w:rsid w:val="5D8F6111"/>
    <w:rsid w:val="5D915AFD"/>
    <w:rsid w:val="5D9404A9"/>
    <w:rsid w:val="5D9A23F4"/>
    <w:rsid w:val="5D9F6617"/>
    <w:rsid w:val="5D9F7C74"/>
    <w:rsid w:val="5DAE2E8C"/>
    <w:rsid w:val="5DAE7F3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25731"/>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46490"/>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80917"/>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207B"/>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01A81"/>
    <w:rsid w:val="620B2B74"/>
    <w:rsid w:val="6210415F"/>
    <w:rsid w:val="62185165"/>
    <w:rsid w:val="621D66D4"/>
    <w:rsid w:val="62220209"/>
    <w:rsid w:val="622D780A"/>
    <w:rsid w:val="622E2CF4"/>
    <w:rsid w:val="622F5ABF"/>
    <w:rsid w:val="623659A6"/>
    <w:rsid w:val="623D0C68"/>
    <w:rsid w:val="62460FCD"/>
    <w:rsid w:val="62480FF0"/>
    <w:rsid w:val="624B14C1"/>
    <w:rsid w:val="624F0394"/>
    <w:rsid w:val="625A29D8"/>
    <w:rsid w:val="625B2CDA"/>
    <w:rsid w:val="625B47C2"/>
    <w:rsid w:val="62630C6B"/>
    <w:rsid w:val="627301E8"/>
    <w:rsid w:val="627F1671"/>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DA1A42"/>
    <w:rsid w:val="63E263F4"/>
    <w:rsid w:val="63E418C9"/>
    <w:rsid w:val="63FB6EC6"/>
    <w:rsid w:val="63FD7654"/>
    <w:rsid w:val="640C2BB6"/>
    <w:rsid w:val="6411454E"/>
    <w:rsid w:val="643F3FFC"/>
    <w:rsid w:val="644A69BC"/>
    <w:rsid w:val="644C372C"/>
    <w:rsid w:val="645B5DC0"/>
    <w:rsid w:val="645D3A6B"/>
    <w:rsid w:val="646829E7"/>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C6E17"/>
    <w:rsid w:val="65BD3777"/>
    <w:rsid w:val="65BE5ECC"/>
    <w:rsid w:val="65D64BB3"/>
    <w:rsid w:val="65D70270"/>
    <w:rsid w:val="65E91B08"/>
    <w:rsid w:val="65F5725F"/>
    <w:rsid w:val="65FC7EBA"/>
    <w:rsid w:val="66032E7B"/>
    <w:rsid w:val="66053581"/>
    <w:rsid w:val="660A19B0"/>
    <w:rsid w:val="661026AA"/>
    <w:rsid w:val="661635F6"/>
    <w:rsid w:val="661D3F49"/>
    <w:rsid w:val="66213A5C"/>
    <w:rsid w:val="6624683A"/>
    <w:rsid w:val="66251653"/>
    <w:rsid w:val="662D2EA4"/>
    <w:rsid w:val="662F2BB7"/>
    <w:rsid w:val="6631571B"/>
    <w:rsid w:val="66376C0F"/>
    <w:rsid w:val="663D054E"/>
    <w:rsid w:val="663F1AEB"/>
    <w:rsid w:val="66460692"/>
    <w:rsid w:val="6658158E"/>
    <w:rsid w:val="66631FDD"/>
    <w:rsid w:val="66727620"/>
    <w:rsid w:val="66763EED"/>
    <w:rsid w:val="667930F9"/>
    <w:rsid w:val="6679372B"/>
    <w:rsid w:val="667B3C56"/>
    <w:rsid w:val="66923FF0"/>
    <w:rsid w:val="66953491"/>
    <w:rsid w:val="66980BF6"/>
    <w:rsid w:val="66A56CDB"/>
    <w:rsid w:val="66AD65FC"/>
    <w:rsid w:val="66B81454"/>
    <w:rsid w:val="66BE1292"/>
    <w:rsid w:val="66BF76F1"/>
    <w:rsid w:val="66D553C4"/>
    <w:rsid w:val="66D61A8D"/>
    <w:rsid w:val="66D93197"/>
    <w:rsid w:val="66DA3497"/>
    <w:rsid w:val="66DC5BF8"/>
    <w:rsid w:val="66E173F9"/>
    <w:rsid w:val="66E3226C"/>
    <w:rsid w:val="66E611A7"/>
    <w:rsid w:val="66E80EB0"/>
    <w:rsid w:val="66EC5E36"/>
    <w:rsid w:val="66F569E1"/>
    <w:rsid w:val="66F76034"/>
    <w:rsid w:val="67066C06"/>
    <w:rsid w:val="670E7B80"/>
    <w:rsid w:val="6713591F"/>
    <w:rsid w:val="67181932"/>
    <w:rsid w:val="67251D90"/>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35B0A"/>
    <w:rsid w:val="67F0511C"/>
    <w:rsid w:val="67F5522D"/>
    <w:rsid w:val="67F73BC6"/>
    <w:rsid w:val="6808339E"/>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2529F"/>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46FF8"/>
    <w:rsid w:val="696D4544"/>
    <w:rsid w:val="696F3842"/>
    <w:rsid w:val="69731101"/>
    <w:rsid w:val="6974083C"/>
    <w:rsid w:val="697A6585"/>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0F646C"/>
    <w:rsid w:val="6B21318E"/>
    <w:rsid w:val="6B285741"/>
    <w:rsid w:val="6B2C563E"/>
    <w:rsid w:val="6B340EF1"/>
    <w:rsid w:val="6B3D06AC"/>
    <w:rsid w:val="6B444BB7"/>
    <w:rsid w:val="6B447945"/>
    <w:rsid w:val="6B472052"/>
    <w:rsid w:val="6B4B2C3B"/>
    <w:rsid w:val="6B4D1E0A"/>
    <w:rsid w:val="6B4E4A00"/>
    <w:rsid w:val="6B5278F5"/>
    <w:rsid w:val="6B5A64D2"/>
    <w:rsid w:val="6B5B0A52"/>
    <w:rsid w:val="6B5B7CD6"/>
    <w:rsid w:val="6B5D2504"/>
    <w:rsid w:val="6B6C560D"/>
    <w:rsid w:val="6B705E52"/>
    <w:rsid w:val="6B73569F"/>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4349E"/>
    <w:rsid w:val="6C155F31"/>
    <w:rsid w:val="6C206E21"/>
    <w:rsid w:val="6C263A06"/>
    <w:rsid w:val="6C2F3F0E"/>
    <w:rsid w:val="6C3A624E"/>
    <w:rsid w:val="6C3F4795"/>
    <w:rsid w:val="6C431738"/>
    <w:rsid w:val="6C442E2D"/>
    <w:rsid w:val="6C4B106D"/>
    <w:rsid w:val="6C505966"/>
    <w:rsid w:val="6C5D04BB"/>
    <w:rsid w:val="6C666C3C"/>
    <w:rsid w:val="6C6833E1"/>
    <w:rsid w:val="6C882F2E"/>
    <w:rsid w:val="6C8E4315"/>
    <w:rsid w:val="6C95615F"/>
    <w:rsid w:val="6CA94419"/>
    <w:rsid w:val="6CB242A2"/>
    <w:rsid w:val="6CC818AD"/>
    <w:rsid w:val="6CD63E7E"/>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7343E"/>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094A35"/>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700333CC"/>
    <w:rsid w:val="700C0460"/>
    <w:rsid w:val="701458A7"/>
    <w:rsid w:val="70152C7C"/>
    <w:rsid w:val="70170F2B"/>
    <w:rsid w:val="701830B7"/>
    <w:rsid w:val="701E2FAB"/>
    <w:rsid w:val="70206C25"/>
    <w:rsid w:val="702267D2"/>
    <w:rsid w:val="70291A05"/>
    <w:rsid w:val="70370653"/>
    <w:rsid w:val="70385F59"/>
    <w:rsid w:val="70387A8F"/>
    <w:rsid w:val="7048580E"/>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46301"/>
    <w:rsid w:val="72056436"/>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053CD"/>
    <w:rsid w:val="76894819"/>
    <w:rsid w:val="768D57E3"/>
    <w:rsid w:val="76932317"/>
    <w:rsid w:val="769525FE"/>
    <w:rsid w:val="76A53B61"/>
    <w:rsid w:val="76A56898"/>
    <w:rsid w:val="76A652D8"/>
    <w:rsid w:val="76B153BA"/>
    <w:rsid w:val="76BE7B18"/>
    <w:rsid w:val="76C72CA0"/>
    <w:rsid w:val="76CE1740"/>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B3D39"/>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B4ABC"/>
    <w:rsid w:val="791C7612"/>
    <w:rsid w:val="79213934"/>
    <w:rsid w:val="79221399"/>
    <w:rsid w:val="792378FC"/>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6739D"/>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6E71A4"/>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B26FC"/>
    <w:rsid w:val="7AAE678B"/>
    <w:rsid w:val="7AB07C78"/>
    <w:rsid w:val="7AB514B2"/>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CA5583"/>
    <w:rsid w:val="7CCE5C78"/>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6739F"/>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43A90"/>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36DE1"/>
    <w:rsid w:val="7F6339F7"/>
    <w:rsid w:val="7F8660CD"/>
    <w:rsid w:val="7F8A2E2C"/>
    <w:rsid w:val="7F963419"/>
    <w:rsid w:val="7F98528E"/>
    <w:rsid w:val="7FA069EC"/>
    <w:rsid w:val="7FA115A5"/>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2022-09-30T15:00:54Z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